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9A5AE" w14:textId="15EB9FF4" w:rsidR="00914CC7" w:rsidRPr="00495997" w:rsidRDefault="00495997">
      <w:pPr>
        <w:rPr>
          <w:rFonts w:ascii="NimbusSanNov" w:hAnsi="NimbusSanNov"/>
          <w:lang w:val="fr-FR"/>
        </w:rPr>
      </w:pPr>
      <w:r w:rsidRPr="00495997">
        <w:rPr>
          <w:rFonts w:ascii="NimbusSanNov" w:hAnsi="NimbusSanNov"/>
          <w:noProof/>
          <w:lang w:val="fr-CH" w:eastAsia="fr-CH"/>
        </w:rPr>
        <w:drawing>
          <wp:anchor distT="0" distB="0" distL="114300" distR="114300" simplePos="0" relativeHeight="251657728" behindDoc="0" locked="0" layoutInCell="1" allowOverlap="1" wp14:anchorId="3AFA5887" wp14:editId="26D44537">
            <wp:simplePos x="0" y="0"/>
            <wp:positionH relativeFrom="column">
              <wp:posOffset>88265</wp:posOffset>
            </wp:positionH>
            <wp:positionV relativeFrom="paragraph">
              <wp:posOffset>27219</wp:posOffset>
            </wp:positionV>
            <wp:extent cx="3357880" cy="533400"/>
            <wp:effectExtent l="0" t="0" r="0" b="0"/>
            <wp:wrapNone/>
            <wp:docPr id="2" name="Bild 2" descr="STS-Logo ohne Adresse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S-Logo ohne Adresse 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5788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5D356" w14:textId="2B772C4F" w:rsidR="00520235" w:rsidRPr="00495997" w:rsidRDefault="00520235">
      <w:pPr>
        <w:rPr>
          <w:rFonts w:ascii="NimbusSanNov" w:hAnsi="NimbusSanNov"/>
          <w:lang w:val="fr-FR"/>
        </w:rPr>
      </w:pPr>
    </w:p>
    <w:p w14:paraId="0CB95CE4" w14:textId="53DB9A94" w:rsidR="00427F9E" w:rsidRPr="00495997" w:rsidRDefault="00427F9E">
      <w:pPr>
        <w:rPr>
          <w:rFonts w:ascii="NimbusSanNov" w:hAnsi="NimbusSanNov"/>
          <w:lang w:val="fr-FR"/>
        </w:rPr>
      </w:pPr>
    </w:p>
    <w:p w14:paraId="5616B209" w14:textId="2E2FB1F5" w:rsidR="00495997" w:rsidRDefault="00495997">
      <w:pPr>
        <w:rPr>
          <w:rFonts w:ascii="NimbusSanNov" w:hAnsi="NimbusSanNov"/>
          <w:lang w:val="fr-FR"/>
        </w:rPr>
      </w:pPr>
    </w:p>
    <w:p w14:paraId="34C78D29" w14:textId="7A465A57" w:rsidR="00495997" w:rsidRDefault="00495997">
      <w:pPr>
        <w:rPr>
          <w:rFonts w:ascii="NimbusSanNov" w:hAnsi="NimbusSanNov"/>
          <w:lang w:val="fr-FR"/>
        </w:rPr>
      </w:pPr>
    </w:p>
    <w:p w14:paraId="3E2D57B7" w14:textId="58A94F20" w:rsidR="00BD743D" w:rsidRPr="00495997" w:rsidRDefault="00495997">
      <w:pPr>
        <w:rPr>
          <w:rFonts w:ascii="NimbusSanNov" w:hAnsi="NimbusSanNov"/>
          <w:lang w:val="fr-FR"/>
        </w:rPr>
      </w:pPr>
      <w:r>
        <w:rPr>
          <w:rFonts w:ascii="NimbusSanNov" w:hAnsi="NimbusSanNov"/>
          <w:b/>
          <w:noProof/>
          <w:sz w:val="28"/>
          <w:szCs w:val="28"/>
          <w:lang w:val="fr-CH" w:eastAsia="fr-CH"/>
        </w:rPr>
        <mc:AlternateContent>
          <mc:Choice Requires="wps">
            <w:drawing>
              <wp:anchor distT="0" distB="0" distL="114300" distR="114300" simplePos="0" relativeHeight="251658752" behindDoc="1" locked="0" layoutInCell="1" allowOverlap="1" wp14:editId="23DEC175">
                <wp:simplePos x="0" y="0"/>
                <wp:positionH relativeFrom="margin">
                  <wp:posOffset>6126025</wp:posOffset>
                </wp:positionH>
                <wp:positionV relativeFrom="margin">
                  <wp:posOffset>910590</wp:posOffset>
                </wp:positionV>
                <wp:extent cx="3336802" cy="580030"/>
                <wp:effectExtent l="0" t="0" r="35560" b="48895"/>
                <wp:wrapNone/>
                <wp:docPr id="1" name="Organigramme : Processu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6802" cy="580030"/>
                        </a:xfrm>
                        <a:prstGeom prst="flowChartProcess">
                          <a:avLst/>
                        </a:prstGeom>
                        <a:gradFill rotWithShape="0">
                          <a:gsLst>
                            <a:gs pos="0">
                              <a:srgbClr val="FFD966"/>
                            </a:gs>
                            <a:gs pos="50000">
                              <a:srgbClr val="FFF2CC"/>
                            </a:gs>
                            <a:gs pos="100000">
                              <a:srgbClr val="FFD966"/>
                            </a:gs>
                          </a:gsLst>
                          <a:lin ang="18900000" scaled="1"/>
                        </a:gradFill>
                        <a:ln w="12700">
                          <a:solidFill>
                            <a:srgbClr val="FFD966"/>
                          </a:solidFill>
                          <a:miter lim="800000"/>
                          <a:headEnd/>
                          <a:tailEnd/>
                        </a:ln>
                        <a:effectLst>
                          <a:outerShdw dist="28398" dir="3806097" algn="ctr" rotWithShape="0">
                            <a:srgbClr val="7F5F0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D6265" id="_x0000_t109" coordsize="21600,21600" o:spt="109" path="m,l,21600r21600,l21600,xe">
                <v:stroke joinstyle="miter"/>
                <v:path gradientshapeok="t" o:connecttype="rect"/>
              </v:shapetype>
              <v:shape id="Organigramme : Processus 1" o:spid="_x0000_s1026" type="#_x0000_t109" style="position:absolute;margin-left:482.35pt;margin-top:71.7pt;width:262.75pt;height:45.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" fillcolor="#ffd966" strokecolor="#ffd966" strokeweight="1pt">
                <v:fill color2="#fff2cc" angle="135" focus="50%" type="gradient"/>
                <v:shadow on="t" color="#7f5f00" opacity=".5" offset="1pt"/>
                <w10:wrap anchorx="margin" anchory="margin"/>
              </v:shape>
            </w:pict>
          </mc:Fallback>
        </mc:AlternateContent>
      </w:r>
    </w:p>
    <w:p w14:paraId="57598554" w14:textId="6C642340" w:rsidR="00495997" w:rsidRPr="007B44ED" w:rsidRDefault="00495997" w:rsidP="00495997">
      <w:pPr>
        <w:rPr>
          <w:rFonts w:ascii="NimbusSanNovMed" w:hAnsi="NimbusSanNovMed"/>
          <w:b/>
          <w:sz w:val="28"/>
          <w:szCs w:val="28"/>
          <w:lang w:val="fr-FR"/>
        </w:rPr>
      </w:pPr>
      <w:r w:rsidRPr="007B44ED">
        <w:rPr>
          <w:rFonts w:ascii="NimbusSanNovMed" w:hAnsi="NimbusSanNovMed"/>
          <w:b/>
          <w:sz w:val="28"/>
          <w:szCs w:val="28"/>
          <w:lang w:val="fr-FR"/>
        </w:rPr>
        <w:t>Solution de branche Santé et sécurité au travail :</w:t>
      </w:r>
      <w:r w:rsidRPr="007B44ED">
        <w:rPr>
          <w:rFonts w:ascii="NimbusSanNovMed" w:hAnsi="NimbusSanNovMed"/>
          <w:b/>
          <w:color w:val="FF0000"/>
          <w:sz w:val="28"/>
          <w:szCs w:val="28"/>
          <w:lang w:val="fr-FR"/>
        </w:rPr>
        <w:tab/>
      </w:r>
      <w:r w:rsidRPr="007B44ED">
        <w:rPr>
          <w:rFonts w:ascii="NimbusSanNovMed" w:hAnsi="NimbusSanNovMed"/>
          <w:b/>
          <w:color w:val="FF0000"/>
          <w:sz w:val="28"/>
          <w:szCs w:val="28"/>
          <w:lang w:val="fr-FR"/>
        </w:rPr>
        <w:tab/>
      </w:r>
      <w:r w:rsidRPr="007B44ED">
        <w:rPr>
          <w:rFonts w:ascii="NimbusSanNovMed" w:hAnsi="NimbusSanNovMed"/>
          <w:b/>
          <w:color w:val="FF0000"/>
          <w:sz w:val="28"/>
          <w:szCs w:val="28"/>
          <w:lang w:val="fr-FR"/>
        </w:rPr>
        <w:tab/>
      </w:r>
      <w:r w:rsidRPr="007B44ED">
        <w:rPr>
          <w:rFonts w:ascii="NimbusSanNovMed" w:hAnsi="NimbusSanNovMed"/>
          <w:b/>
          <w:color w:val="FF0000"/>
          <w:sz w:val="28"/>
          <w:szCs w:val="28"/>
          <w:lang w:val="fr-FR"/>
        </w:rPr>
        <w:tab/>
      </w:r>
      <w:r w:rsidRPr="007B44ED">
        <w:rPr>
          <w:rFonts w:ascii="NimbusSanNovMed" w:hAnsi="NimbusSanNovMed"/>
          <w:b/>
          <w:color w:val="FF0000"/>
          <w:sz w:val="28"/>
          <w:szCs w:val="28"/>
          <w:lang w:val="fr-FR"/>
        </w:rPr>
        <w:tab/>
      </w:r>
      <w:r w:rsidRPr="007B44ED">
        <w:rPr>
          <w:rFonts w:ascii="NimbusSanNovMed" w:hAnsi="NimbusSanNovMed"/>
          <w:b/>
          <w:color w:val="FF0000"/>
          <w:sz w:val="28"/>
          <w:szCs w:val="28"/>
          <w:lang w:val="fr-FR"/>
        </w:rPr>
        <w:tab/>
      </w:r>
      <w:r w:rsidRPr="007B44ED">
        <w:rPr>
          <w:rFonts w:ascii="NimbusSanNovMed" w:hAnsi="NimbusSanNovMed"/>
          <w:b/>
          <w:sz w:val="28"/>
          <w:szCs w:val="28"/>
          <w:lang w:val="fr-FR"/>
        </w:rPr>
        <w:t xml:space="preserve">Les </w:t>
      </w:r>
      <w:r w:rsidRPr="007B44ED">
        <w:rPr>
          <w:rFonts w:ascii="NimbusSanNovMed" w:hAnsi="NimbusSanNovMed"/>
          <w:b/>
          <w:sz w:val="28"/>
          <w:szCs w:val="28"/>
          <w:lang w:val="fr-FR"/>
        </w:rPr>
        <w:t>documents sont accessibles sous :</w:t>
      </w:r>
    </w:p>
    <w:p w14:paraId="2D86F767" w14:textId="0445E22C" w:rsidR="00495997" w:rsidRPr="007B44ED" w:rsidRDefault="00495997" w:rsidP="00495997">
      <w:pPr>
        <w:rPr>
          <w:rFonts w:ascii="NimbusSanNovMed" w:hAnsi="NimbusSanNovMed"/>
          <w:sz w:val="28"/>
          <w:szCs w:val="28"/>
          <w:lang w:val="fr-FR"/>
        </w:rPr>
      </w:pPr>
      <w:r w:rsidRPr="007B44ED">
        <w:rPr>
          <w:rFonts w:ascii="NimbusSanNovMed" w:hAnsi="NimbusSanNovMed"/>
          <w:b/>
          <w:sz w:val="28"/>
          <w:szCs w:val="28"/>
          <w:lang w:val="fr-FR"/>
        </w:rPr>
        <w:t xml:space="preserve">Tâches des </w:t>
      </w:r>
      <w:r w:rsidRPr="007B44ED">
        <w:rPr>
          <w:rFonts w:ascii="NimbusSanNovMed" w:hAnsi="NimbusSanNovMed"/>
          <w:sz w:val="28"/>
          <w:szCs w:val="28"/>
          <w:lang w:val="fr-FR"/>
        </w:rPr>
        <w:t>P</w:t>
      </w:r>
      <w:r w:rsidRPr="007B44ED">
        <w:rPr>
          <w:rFonts w:ascii="NimbusSanNovMed" w:hAnsi="NimbusSanNovMed"/>
          <w:sz w:val="28"/>
          <w:szCs w:val="28"/>
          <w:lang w:val="fr-FR"/>
        </w:rPr>
        <w:t>ersonnes de contact pour la sécurité au travail et</w:t>
      </w:r>
      <w:r w:rsidRPr="007B44ED">
        <w:rPr>
          <w:rFonts w:ascii="NimbusSanNovMed" w:hAnsi="NimbusSanNovMed"/>
          <w:b/>
          <w:sz w:val="28"/>
          <w:szCs w:val="28"/>
          <w:lang w:val="fr-FR"/>
        </w:rPr>
        <w:tab/>
      </w:r>
      <w:r w:rsidRPr="007B44ED">
        <w:rPr>
          <w:rFonts w:ascii="NimbusSanNovMed" w:hAnsi="NimbusSanNovMed"/>
          <w:b/>
          <w:sz w:val="28"/>
          <w:szCs w:val="28"/>
          <w:lang w:val="fr-FR"/>
        </w:rPr>
        <w:tab/>
      </w:r>
      <w:r w:rsidRPr="007B44ED">
        <w:rPr>
          <w:rFonts w:ascii="NimbusSanNovMed" w:hAnsi="NimbusSanNovMed"/>
          <w:b/>
          <w:sz w:val="28"/>
          <w:szCs w:val="28"/>
          <w:lang w:val="fr-FR"/>
        </w:rPr>
        <w:tab/>
      </w:r>
      <w:r w:rsidRPr="007B44ED">
        <w:rPr>
          <w:rFonts w:ascii="NimbusSanNovMed" w:hAnsi="NimbusSanNovMed"/>
          <w:b/>
          <w:sz w:val="28"/>
          <w:szCs w:val="28"/>
          <w:lang w:val="fr-FR"/>
        </w:rPr>
        <w:tab/>
      </w:r>
      <w:r w:rsidRPr="007B44ED">
        <w:rPr>
          <w:rFonts w:ascii="NimbusSanNovMed" w:hAnsi="NimbusSanNovMed"/>
          <w:b/>
          <w:color w:val="FF0000"/>
          <w:sz w:val="28"/>
          <w:szCs w:val="28"/>
          <w:lang w:val="fr-FR"/>
        </w:rPr>
        <w:t>www.uss.ch/sibe-perco</w:t>
      </w:r>
    </w:p>
    <w:p w14:paraId="6DBA6108" w14:textId="67F12A2E" w:rsidR="00495997" w:rsidRPr="007B44ED" w:rsidRDefault="00495997" w:rsidP="00495997">
      <w:pPr>
        <w:rPr>
          <w:rFonts w:ascii="NimbusSanNovMed" w:hAnsi="NimbusSanNovMed"/>
          <w:b/>
          <w:sz w:val="28"/>
          <w:szCs w:val="28"/>
          <w:lang w:val="fr-FR"/>
        </w:rPr>
      </w:pPr>
      <w:proofErr w:type="gramStart"/>
      <w:r w:rsidRPr="007B44ED">
        <w:rPr>
          <w:rFonts w:ascii="NimbusSanNovMed" w:hAnsi="NimbusSanNovMed"/>
          <w:sz w:val="28"/>
          <w:szCs w:val="28"/>
          <w:lang w:val="fr-FR"/>
        </w:rPr>
        <w:t>la</w:t>
      </w:r>
      <w:proofErr w:type="gramEnd"/>
      <w:r w:rsidRPr="007B44ED">
        <w:rPr>
          <w:rFonts w:ascii="NimbusSanNovMed" w:hAnsi="NimbusSanNovMed"/>
          <w:sz w:val="28"/>
          <w:szCs w:val="28"/>
          <w:lang w:val="fr-FR"/>
        </w:rPr>
        <w:t xml:space="preserve"> protection de la santé</w:t>
      </w:r>
      <w:r w:rsidRPr="007B44ED">
        <w:rPr>
          <w:rFonts w:ascii="NimbusSanNovMed" w:hAnsi="NimbusSanNovMed"/>
          <w:b/>
          <w:sz w:val="28"/>
          <w:szCs w:val="28"/>
          <w:lang w:val="fr-FR"/>
        </w:rPr>
        <w:t xml:space="preserve"> (PERCO) 2023: </w:t>
      </w:r>
    </w:p>
    <w:p w14:paraId="6C8AECDB" w14:textId="63E36949" w:rsidR="00AC4C70" w:rsidRPr="007B44ED" w:rsidRDefault="00AC4C70" w:rsidP="00495997">
      <w:pPr>
        <w:rPr>
          <w:rFonts w:ascii="NimbusSanNovMed" w:hAnsi="NimbusSanNovMed"/>
          <w:lang w:val="fr-FR"/>
        </w:rPr>
      </w:pPr>
    </w:p>
    <w:p w14:paraId="2A96E273" w14:textId="14C8B767" w:rsidR="00964302" w:rsidRPr="007B44ED" w:rsidRDefault="00F10E8B" w:rsidP="00495997">
      <w:pPr>
        <w:rPr>
          <w:rFonts w:ascii="NimbusSanNovMed" w:hAnsi="NimbusSanNovMed"/>
          <w:b/>
          <w:sz w:val="28"/>
          <w:szCs w:val="28"/>
          <w:lang w:val="fr-FR"/>
        </w:rPr>
      </w:pPr>
      <w:r w:rsidRPr="007B44ED">
        <w:rPr>
          <w:rFonts w:ascii="NimbusSanNovMed" w:hAnsi="NimbusSanNovMed"/>
          <w:b/>
          <w:sz w:val="28"/>
          <w:szCs w:val="28"/>
          <w:lang w:val="fr-FR"/>
        </w:rPr>
        <w:t>L’action prioritaire 20</w:t>
      </w:r>
      <w:r w:rsidR="00832E00" w:rsidRPr="007B44ED">
        <w:rPr>
          <w:rFonts w:ascii="NimbusSanNovMed" w:hAnsi="NimbusSanNovMed"/>
          <w:b/>
          <w:sz w:val="28"/>
          <w:szCs w:val="28"/>
          <w:lang w:val="fr-FR"/>
        </w:rPr>
        <w:t>2</w:t>
      </w:r>
      <w:r w:rsidR="001900A5" w:rsidRPr="007B44ED">
        <w:rPr>
          <w:rFonts w:ascii="NimbusSanNovMed" w:hAnsi="NimbusSanNovMed"/>
          <w:b/>
          <w:sz w:val="28"/>
          <w:szCs w:val="28"/>
          <w:lang w:val="fr-FR"/>
        </w:rPr>
        <w:t>3</w:t>
      </w:r>
      <w:r w:rsidR="00D84C82" w:rsidRPr="007B44ED">
        <w:rPr>
          <w:rFonts w:ascii="NimbusSanNovMed" w:hAnsi="NimbusSanNovMed"/>
          <w:b/>
          <w:sz w:val="28"/>
          <w:szCs w:val="28"/>
          <w:lang w:val="fr-FR"/>
        </w:rPr>
        <w:t xml:space="preserve"> </w:t>
      </w:r>
      <w:r w:rsidR="006A690C" w:rsidRPr="007B44ED">
        <w:rPr>
          <w:rFonts w:ascii="NimbusSanNovMed" w:hAnsi="NimbusSanNovMed"/>
          <w:b/>
          <w:sz w:val="28"/>
          <w:szCs w:val="28"/>
          <w:lang w:val="fr-FR"/>
        </w:rPr>
        <w:t xml:space="preserve">constitue </w:t>
      </w:r>
      <w:r w:rsidR="006A690C" w:rsidRPr="007B44ED">
        <w:rPr>
          <w:rFonts w:ascii="NimbusSanNovMed" w:hAnsi="NimbusSanNovMed"/>
          <w:b/>
          <w:color w:val="FF0000"/>
          <w:sz w:val="28"/>
          <w:szCs w:val="28"/>
          <w:lang w:val="fr-FR"/>
        </w:rPr>
        <w:t>la mise en œuvre du point "protection de la maternité" (voir point 9)</w:t>
      </w:r>
    </w:p>
    <w:p w14:paraId="797A190F" w14:textId="77777777" w:rsidR="00AC4C70" w:rsidRPr="00495997" w:rsidRDefault="00AC4C70">
      <w:pPr>
        <w:rPr>
          <w:rFonts w:ascii="NimbusSanNov" w:hAnsi="NimbusSanNov"/>
          <w:lang w:val="fr-FR"/>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4210"/>
        <w:gridCol w:w="10206"/>
      </w:tblGrid>
      <w:tr w:rsidR="00495997" w:rsidRPr="00495997" w14:paraId="752AA5BE" w14:textId="77777777" w:rsidTr="007B44ED">
        <w:trPr>
          <w:trHeight w:val="567"/>
        </w:trPr>
        <w:tc>
          <w:tcPr>
            <w:tcW w:w="4673" w:type="dxa"/>
            <w:gridSpan w:val="2"/>
            <w:tcBorders>
              <w:bottom w:val="single" w:sz="4" w:space="0" w:color="auto"/>
            </w:tcBorders>
            <w:vAlign w:val="center"/>
          </w:tcPr>
          <w:p w14:paraId="2C26F084" w14:textId="13592FF0" w:rsidR="00495997" w:rsidRPr="00495997" w:rsidRDefault="00495997" w:rsidP="00427F9E">
            <w:pPr>
              <w:rPr>
                <w:rFonts w:ascii="NimbusSanNovMed" w:hAnsi="NimbusSanNovMed"/>
                <w:b/>
                <w:sz w:val="24"/>
                <w:lang w:val="fr-FR"/>
              </w:rPr>
            </w:pPr>
            <w:r w:rsidRPr="00495997">
              <w:rPr>
                <w:rFonts w:ascii="NimbusSanNovMed" w:hAnsi="NimbusSanNovMed"/>
                <w:b/>
                <w:sz w:val="24"/>
                <w:lang w:val="fr-FR"/>
              </w:rPr>
              <w:t xml:space="preserve">Chapitre </w:t>
            </w:r>
            <w:r w:rsidRPr="00495997">
              <w:rPr>
                <w:rFonts w:ascii="NimbusSanNovMed" w:hAnsi="NimbusSanNovMed"/>
                <w:b/>
                <w:sz w:val="24"/>
              </w:rPr>
              <w:t>du</w:t>
            </w:r>
            <w:r w:rsidRPr="00495997">
              <w:rPr>
                <w:rFonts w:ascii="NimbusSanNovMed" w:hAnsi="NimbusSanNovMed"/>
                <w:b/>
                <w:sz w:val="24"/>
                <w:lang w:val="fr-FR"/>
              </w:rPr>
              <w:t xml:space="preserve"> manuel </w:t>
            </w:r>
          </w:p>
        </w:tc>
        <w:tc>
          <w:tcPr>
            <w:tcW w:w="10206" w:type="dxa"/>
            <w:shd w:val="clear" w:color="auto" w:fill="auto"/>
            <w:vAlign w:val="center"/>
          </w:tcPr>
          <w:p w14:paraId="17E63276" w14:textId="3706CAB0" w:rsidR="00495997" w:rsidRPr="00495997" w:rsidRDefault="00495997" w:rsidP="00427F9E">
            <w:pPr>
              <w:rPr>
                <w:rFonts w:ascii="NimbusSanNovMed" w:hAnsi="NimbusSanNovMed"/>
                <w:b/>
                <w:sz w:val="24"/>
                <w:lang w:val="fr-FR"/>
              </w:rPr>
            </w:pPr>
            <w:r w:rsidRPr="00495997">
              <w:rPr>
                <w:rFonts w:ascii="NimbusSanNovMed" w:hAnsi="NimbusSanNovMed"/>
                <w:b/>
                <w:sz w:val="24"/>
                <w:lang w:val="fr-FR"/>
              </w:rPr>
              <w:t>Tâches en 2023</w:t>
            </w:r>
          </w:p>
        </w:tc>
      </w:tr>
      <w:tr w:rsidR="00495997" w:rsidRPr="00495997" w14:paraId="083FCDEF" w14:textId="77777777" w:rsidTr="007B44ED">
        <w:trPr>
          <w:trHeight w:val="617"/>
        </w:trPr>
        <w:tc>
          <w:tcPr>
            <w:tcW w:w="463" w:type="dxa"/>
            <w:tcBorders>
              <w:right w:val="nil"/>
            </w:tcBorders>
          </w:tcPr>
          <w:p w14:paraId="1594324A" w14:textId="5C29AFEC" w:rsidR="00495997" w:rsidRPr="00495997" w:rsidRDefault="00495997" w:rsidP="007B44ED">
            <w:pPr>
              <w:spacing w:before="120" w:after="120"/>
              <w:rPr>
                <w:rFonts w:ascii="NimbusSanNov" w:hAnsi="NimbusSanNov"/>
                <w:b/>
                <w:lang w:val="fr-FR"/>
              </w:rPr>
            </w:pPr>
            <w:r>
              <w:rPr>
                <w:rFonts w:ascii="NimbusSanNov" w:hAnsi="NimbusSanNov"/>
                <w:b/>
                <w:lang w:val="fr-FR"/>
              </w:rPr>
              <w:t>1</w:t>
            </w:r>
          </w:p>
        </w:tc>
        <w:tc>
          <w:tcPr>
            <w:tcW w:w="4210" w:type="dxa"/>
            <w:tcBorders>
              <w:left w:val="nil"/>
            </w:tcBorders>
            <w:shd w:val="clear" w:color="auto" w:fill="auto"/>
          </w:tcPr>
          <w:p w14:paraId="002551CE" w14:textId="093B7E06"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Lignes directrices /Objectifs de sécurité</w:t>
            </w:r>
          </w:p>
        </w:tc>
        <w:tc>
          <w:tcPr>
            <w:tcW w:w="10206" w:type="dxa"/>
            <w:shd w:val="clear" w:color="auto" w:fill="auto"/>
          </w:tcPr>
          <w:p w14:paraId="2AC11788" w14:textId="3D56214E"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lang w:val="fr-FR"/>
              </w:rPr>
              <w:t>Adapter les</w:t>
            </w:r>
            <w:bookmarkStart w:id="0" w:name="_GoBack"/>
            <w:bookmarkEnd w:id="0"/>
            <w:r w:rsidRPr="00495997">
              <w:rPr>
                <w:rFonts w:ascii="NimbusSanNovMed" w:hAnsi="NimbusSanNovMed"/>
                <w:lang w:val="fr-FR"/>
              </w:rPr>
              <w:t xml:space="preserve"> lignes directrices de la solution de branche à sa propre unité organisationnelle, en discuter avec sa direction et faire connaître les lignes directrices à </w:t>
            </w:r>
            <w:r w:rsidRPr="00215DD3">
              <w:rPr>
                <w:rFonts w:ascii="NimbusSanNovMed" w:hAnsi="NimbusSanNovMed"/>
                <w:lang w:val="fr-CH"/>
              </w:rPr>
              <w:t>tous</w:t>
            </w:r>
            <w:r w:rsidRPr="00495997">
              <w:rPr>
                <w:rFonts w:ascii="NimbusSanNovMed" w:hAnsi="NimbusSanNovMed"/>
                <w:lang w:val="fr-FR"/>
              </w:rPr>
              <w:t xml:space="preserve"> les </w:t>
            </w:r>
            <w:r w:rsidRPr="00215DD3">
              <w:rPr>
                <w:rFonts w:ascii="NimbusSanNovMed" w:hAnsi="NimbusSanNovMed"/>
                <w:lang w:val="fr-CH"/>
              </w:rPr>
              <w:t>collaborateurs</w:t>
            </w:r>
            <w:r w:rsidRPr="00495997">
              <w:rPr>
                <w:rFonts w:ascii="NimbusSanNovMed" w:hAnsi="NimbusSanNovMed"/>
                <w:lang w:val="fr-FR"/>
              </w:rPr>
              <w:t>/-</w:t>
            </w:r>
            <w:proofErr w:type="spellStart"/>
            <w:r w:rsidRPr="00495997">
              <w:rPr>
                <w:rFonts w:ascii="NimbusSanNovMed" w:hAnsi="NimbusSanNovMed"/>
                <w:lang w:val="fr-FR"/>
              </w:rPr>
              <w:t>trices</w:t>
            </w:r>
            <w:proofErr w:type="spellEnd"/>
            <w:r w:rsidRPr="00495997">
              <w:rPr>
                <w:rFonts w:ascii="NimbusSanNovMed" w:hAnsi="NimbusSanNovMed"/>
                <w:lang w:val="fr-FR"/>
              </w:rPr>
              <w:t>.</w:t>
            </w:r>
          </w:p>
          <w:p w14:paraId="4CB097E5" w14:textId="409CE778"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lang w:val="fr-FR"/>
              </w:rPr>
              <w:t>Définissez chaque année 1 à 3 objectifs de sécurité spécifiques avec vos supérieurs : que voulez-vous atteindre en matière de sécurité et de protection de la santé au cours de l'année ?</w:t>
            </w:r>
          </w:p>
          <w:p w14:paraId="32BFEEFA" w14:textId="23C831D2"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Définissez</w:t>
            </w:r>
            <w:r w:rsidRPr="00495997">
              <w:rPr>
                <w:rFonts w:ascii="NimbusSanNovMed" w:hAnsi="NimbusSanNovMed"/>
                <w:lang w:val="fr-FR"/>
              </w:rPr>
              <w:t xml:space="preserve"> un objectif pour votre mission de sécurité dans votre propre convention d'objectifs.</w:t>
            </w:r>
          </w:p>
        </w:tc>
      </w:tr>
      <w:tr w:rsidR="00495997" w:rsidRPr="00495997" w14:paraId="03213F66" w14:textId="77777777" w:rsidTr="007B44ED">
        <w:tc>
          <w:tcPr>
            <w:tcW w:w="463" w:type="dxa"/>
            <w:tcBorders>
              <w:right w:val="nil"/>
            </w:tcBorders>
          </w:tcPr>
          <w:p w14:paraId="230BBE94" w14:textId="464ED2F7" w:rsidR="00495997" w:rsidRPr="00495997" w:rsidRDefault="00495997" w:rsidP="007B44ED">
            <w:pPr>
              <w:spacing w:before="120" w:after="120"/>
              <w:rPr>
                <w:rFonts w:ascii="NimbusSanNov" w:hAnsi="NimbusSanNov"/>
                <w:b/>
                <w:lang w:val="fr-FR"/>
              </w:rPr>
            </w:pPr>
            <w:r>
              <w:rPr>
                <w:rFonts w:ascii="NimbusSanNov" w:hAnsi="NimbusSanNov"/>
                <w:b/>
                <w:lang w:val="fr-FR"/>
              </w:rPr>
              <w:t>2</w:t>
            </w:r>
          </w:p>
        </w:tc>
        <w:tc>
          <w:tcPr>
            <w:tcW w:w="4210" w:type="dxa"/>
            <w:tcBorders>
              <w:left w:val="nil"/>
            </w:tcBorders>
            <w:shd w:val="clear" w:color="auto" w:fill="auto"/>
          </w:tcPr>
          <w:p w14:paraId="12CBF4E9" w14:textId="71CE8D2F"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Organisation de la sécurité</w:t>
            </w:r>
          </w:p>
        </w:tc>
        <w:tc>
          <w:tcPr>
            <w:tcW w:w="10206" w:type="dxa"/>
            <w:shd w:val="clear" w:color="auto" w:fill="auto"/>
          </w:tcPr>
          <w:p w14:paraId="357F5321" w14:textId="77777777"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Adaptation</w:t>
            </w:r>
            <w:r w:rsidRPr="00495997">
              <w:rPr>
                <w:rFonts w:ascii="NimbusSanNovMed" w:hAnsi="NimbusSanNovMed"/>
                <w:lang w:val="fr-FR"/>
              </w:rPr>
              <w:t xml:space="preserve"> et signature du descriptif de la fonction de PERCO si cela n’a pas encore été fait</w:t>
            </w:r>
          </w:p>
          <w:p w14:paraId="70A4F393" w14:textId="79A867CB"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lang w:val="fr-FR"/>
              </w:rPr>
              <w:t xml:space="preserve">Créez </w:t>
            </w:r>
            <w:r w:rsidRPr="00495997">
              <w:rPr>
                <w:rFonts w:ascii="NimbusSanNovMed" w:hAnsi="NimbusSanNovMed"/>
              </w:rPr>
              <w:t>un</w:t>
            </w:r>
            <w:r w:rsidRPr="00495997">
              <w:rPr>
                <w:rFonts w:ascii="NimbusSanNovMed" w:hAnsi="NimbusSanNovMed"/>
                <w:lang w:val="fr-FR"/>
              </w:rPr>
              <w:t xml:space="preserve"> organigramme de votre organisation de la sécurité qui montre comment la responsabilité incombe à la direction et qui illustre également votre position.</w:t>
            </w:r>
          </w:p>
        </w:tc>
      </w:tr>
      <w:tr w:rsidR="00495997" w:rsidRPr="00495997" w14:paraId="3F88746D" w14:textId="77777777" w:rsidTr="007B44ED">
        <w:tc>
          <w:tcPr>
            <w:tcW w:w="463" w:type="dxa"/>
            <w:tcBorders>
              <w:right w:val="nil"/>
            </w:tcBorders>
          </w:tcPr>
          <w:p w14:paraId="18E1E1F4" w14:textId="59002C97" w:rsidR="00495997" w:rsidRPr="00495997" w:rsidRDefault="00495997" w:rsidP="007B44ED">
            <w:pPr>
              <w:spacing w:before="120" w:after="120"/>
              <w:rPr>
                <w:rFonts w:ascii="NimbusSanNov" w:hAnsi="NimbusSanNov"/>
                <w:b/>
                <w:lang w:val="fr-FR"/>
              </w:rPr>
            </w:pPr>
            <w:r>
              <w:rPr>
                <w:rFonts w:ascii="NimbusSanNov" w:hAnsi="NimbusSanNov"/>
                <w:b/>
                <w:lang w:val="fr-FR"/>
              </w:rPr>
              <w:t>3</w:t>
            </w:r>
          </w:p>
        </w:tc>
        <w:tc>
          <w:tcPr>
            <w:tcW w:w="4210" w:type="dxa"/>
            <w:tcBorders>
              <w:left w:val="nil"/>
            </w:tcBorders>
            <w:shd w:val="clear" w:color="auto" w:fill="auto"/>
          </w:tcPr>
          <w:p w14:paraId="2D89DC3C" w14:textId="4767B977"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Formation, instruction, information</w:t>
            </w:r>
          </w:p>
        </w:tc>
        <w:tc>
          <w:tcPr>
            <w:tcW w:w="10206" w:type="dxa"/>
            <w:shd w:val="clear" w:color="auto" w:fill="auto"/>
          </w:tcPr>
          <w:p w14:paraId="1CD2BBC6" w14:textId="77777777"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Informer</w:t>
            </w:r>
            <w:r w:rsidRPr="00495997">
              <w:rPr>
                <w:rFonts w:ascii="NimbusSanNovMed" w:hAnsi="NimbusSanNovMed"/>
                <w:lang w:val="fr-FR"/>
              </w:rPr>
              <w:t xml:space="preserve"> tous les collaborateurs/collaboratrices sur la solution de branche, avant tout les nouveaux collaborateurs/collaboratrices</w:t>
            </w:r>
          </w:p>
          <w:p w14:paraId="569F7CED" w14:textId="5A3C651F"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Participer</w:t>
            </w:r>
            <w:r w:rsidRPr="00495997">
              <w:rPr>
                <w:rFonts w:ascii="NimbusSanNovMed" w:hAnsi="NimbusSanNovMed"/>
                <w:lang w:val="fr-FR"/>
              </w:rPr>
              <w:t xml:space="preserve"> aux cours d’échange d’expériences et de formation continue destinés aux PERCO</w:t>
            </w:r>
          </w:p>
        </w:tc>
      </w:tr>
      <w:tr w:rsidR="00495997" w:rsidRPr="00495997" w14:paraId="374B033E" w14:textId="77777777" w:rsidTr="007B44ED">
        <w:tc>
          <w:tcPr>
            <w:tcW w:w="463" w:type="dxa"/>
            <w:tcBorders>
              <w:right w:val="nil"/>
            </w:tcBorders>
          </w:tcPr>
          <w:p w14:paraId="77D06A34" w14:textId="76BB750B" w:rsidR="00495997" w:rsidRPr="00495997" w:rsidRDefault="00495997" w:rsidP="007B44ED">
            <w:pPr>
              <w:spacing w:before="120" w:after="120"/>
              <w:rPr>
                <w:rFonts w:ascii="NimbusSanNov" w:hAnsi="NimbusSanNov"/>
                <w:b/>
                <w:lang w:val="fr-FR"/>
              </w:rPr>
            </w:pPr>
            <w:r>
              <w:rPr>
                <w:rFonts w:ascii="NimbusSanNov" w:hAnsi="NimbusSanNov"/>
                <w:b/>
                <w:lang w:val="fr-FR"/>
              </w:rPr>
              <w:t>4</w:t>
            </w:r>
          </w:p>
        </w:tc>
        <w:tc>
          <w:tcPr>
            <w:tcW w:w="4210" w:type="dxa"/>
            <w:tcBorders>
              <w:left w:val="nil"/>
            </w:tcBorders>
            <w:shd w:val="clear" w:color="auto" w:fill="auto"/>
          </w:tcPr>
          <w:p w14:paraId="70E75BC0" w14:textId="571B7ADA"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Règles de sécurité</w:t>
            </w:r>
          </w:p>
        </w:tc>
        <w:tc>
          <w:tcPr>
            <w:tcW w:w="10206" w:type="dxa"/>
            <w:shd w:val="clear" w:color="auto" w:fill="auto"/>
          </w:tcPr>
          <w:p w14:paraId="0526A9C1" w14:textId="6B9E66B2"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Définir</w:t>
            </w:r>
            <w:r w:rsidRPr="00495997">
              <w:rPr>
                <w:rFonts w:ascii="NimbusSanNovMed" w:hAnsi="NimbusSanNovMed"/>
                <w:lang w:val="fr-FR"/>
              </w:rPr>
              <w:t xml:space="preserve"> une règle de sécurité avec tous les collaborateurs et la mettre en œuvre de manière cohérente. Voici quelques exemples de règles de sécurité : Quel équipement portons-nous au service extérieur ? Comment agissons-nous en cas d'agression au guichet ? Nous respectons systématiquement les pauses.</w:t>
            </w:r>
          </w:p>
        </w:tc>
      </w:tr>
      <w:tr w:rsidR="00495997" w:rsidRPr="00495997" w14:paraId="14DEA837" w14:textId="77777777" w:rsidTr="007B44ED">
        <w:tc>
          <w:tcPr>
            <w:tcW w:w="463" w:type="dxa"/>
            <w:tcBorders>
              <w:right w:val="nil"/>
            </w:tcBorders>
          </w:tcPr>
          <w:p w14:paraId="0FC4D689" w14:textId="10861F2F" w:rsidR="00495997" w:rsidRPr="00495997" w:rsidRDefault="00495997" w:rsidP="007B44ED">
            <w:pPr>
              <w:spacing w:before="120" w:after="120"/>
              <w:rPr>
                <w:rFonts w:ascii="NimbusSanNov" w:hAnsi="NimbusSanNov"/>
                <w:b/>
                <w:lang w:val="fr-FR"/>
              </w:rPr>
            </w:pPr>
            <w:r>
              <w:rPr>
                <w:rFonts w:ascii="NimbusSanNov" w:hAnsi="NimbusSanNov"/>
                <w:b/>
                <w:lang w:val="fr-FR"/>
              </w:rPr>
              <w:lastRenderedPageBreak/>
              <w:t>5</w:t>
            </w:r>
          </w:p>
        </w:tc>
        <w:tc>
          <w:tcPr>
            <w:tcW w:w="4210" w:type="dxa"/>
            <w:tcBorders>
              <w:left w:val="nil"/>
            </w:tcBorders>
            <w:shd w:val="clear" w:color="auto" w:fill="auto"/>
          </w:tcPr>
          <w:p w14:paraId="53C828DB" w14:textId="7142EF75"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Détermination des dangers /évaluation des risques</w:t>
            </w:r>
          </w:p>
        </w:tc>
        <w:tc>
          <w:tcPr>
            <w:tcW w:w="10206" w:type="dxa"/>
            <w:shd w:val="clear" w:color="auto" w:fill="auto"/>
          </w:tcPr>
          <w:p w14:paraId="039F647C" w14:textId="3BC8B23F"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lang w:val="fr-FR"/>
              </w:rPr>
              <w:t xml:space="preserve">A </w:t>
            </w:r>
            <w:r w:rsidRPr="00495997">
              <w:rPr>
                <w:rFonts w:ascii="NimbusSanNovMed" w:hAnsi="NimbusSanNovMed"/>
              </w:rPr>
              <w:t>l'aide</w:t>
            </w:r>
            <w:r w:rsidRPr="00495997">
              <w:rPr>
                <w:rFonts w:ascii="NimbusSanNovMed" w:hAnsi="NimbusSanNovMed"/>
                <w:lang w:val="fr-FR"/>
              </w:rPr>
              <w:t xml:space="preserve"> de la détermination des risques, vous devriez évaluer tous les trois ans les postes de travail dans votre domaine d'activité. Il est important que vous commenciez par éliminer les domaines qui ne vous concernent pas et que vous fixiez des priorités. La détermination des risques sert de base à la définition des mesures à prendre.</w:t>
            </w:r>
          </w:p>
        </w:tc>
      </w:tr>
      <w:tr w:rsidR="00495997" w:rsidRPr="00495997" w14:paraId="4B64F4CC" w14:textId="77777777" w:rsidTr="007B44ED">
        <w:tc>
          <w:tcPr>
            <w:tcW w:w="463" w:type="dxa"/>
            <w:tcBorders>
              <w:right w:val="nil"/>
            </w:tcBorders>
          </w:tcPr>
          <w:p w14:paraId="44EA3B3C" w14:textId="04670F0A" w:rsidR="00495997" w:rsidRPr="00495997" w:rsidRDefault="00495997" w:rsidP="007B44ED">
            <w:pPr>
              <w:spacing w:before="120" w:after="120"/>
              <w:rPr>
                <w:rFonts w:ascii="NimbusSanNov" w:hAnsi="NimbusSanNov"/>
                <w:b/>
                <w:lang w:val="fr-FR"/>
              </w:rPr>
            </w:pPr>
            <w:r>
              <w:rPr>
                <w:rFonts w:ascii="NimbusSanNov" w:hAnsi="NimbusSanNov"/>
                <w:b/>
                <w:lang w:val="fr-FR"/>
              </w:rPr>
              <w:t>6</w:t>
            </w:r>
          </w:p>
        </w:tc>
        <w:tc>
          <w:tcPr>
            <w:tcW w:w="4210" w:type="dxa"/>
            <w:tcBorders>
              <w:left w:val="nil"/>
            </w:tcBorders>
            <w:shd w:val="clear" w:color="auto" w:fill="auto"/>
          </w:tcPr>
          <w:p w14:paraId="2E81035A" w14:textId="77C52B48"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Planification et réalisation des mesures</w:t>
            </w:r>
          </w:p>
        </w:tc>
        <w:tc>
          <w:tcPr>
            <w:tcW w:w="10206" w:type="dxa"/>
            <w:shd w:val="clear" w:color="auto" w:fill="auto"/>
          </w:tcPr>
          <w:p w14:paraId="5AB4210E" w14:textId="7F23A425"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Établissez</w:t>
            </w:r>
            <w:r w:rsidRPr="00495997">
              <w:rPr>
                <w:rFonts w:ascii="NimbusSanNovMed" w:hAnsi="NimbusSanNovMed"/>
                <w:lang w:val="fr-FR"/>
              </w:rPr>
              <w:t xml:space="preserve"> un plan de mesures à partir de l'identification des dangers, définissez les priorités et fixez des délais. Si nécessaire, demandez l'accord de vos supérieurs.</w:t>
            </w:r>
          </w:p>
        </w:tc>
      </w:tr>
      <w:tr w:rsidR="00495997" w:rsidRPr="00495997" w14:paraId="2540F8EA" w14:textId="77777777" w:rsidTr="007B44ED">
        <w:tc>
          <w:tcPr>
            <w:tcW w:w="463" w:type="dxa"/>
            <w:tcBorders>
              <w:right w:val="nil"/>
            </w:tcBorders>
          </w:tcPr>
          <w:p w14:paraId="411EEE3D" w14:textId="00B8B89F" w:rsidR="00495997" w:rsidRPr="00495997" w:rsidRDefault="00495997" w:rsidP="007B44ED">
            <w:pPr>
              <w:spacing w:before="120" w:after="120"/>
              <w:rPr>
                <w:rFonts w:ascii="NimbusSanNov" w:hAnsi="NimbusSanNov"/>
                <w:b/>
                <w:lang w:val="fr-FR"/>
              </w:rPr>
            </w:pPr>
            <w:r>
              <w:rPr>
                <w:rFonts w:ascii="NimbusSanNov" w:hAnsi="NimbusSanNov"/>
                <w:b/>
                <w:lang w:val="fr-FR"/>
              </w:rPr>
              <w:t>7</w:t>
            </w:r>
          </w:p>
        </w:tc>
        <w:tc>
          <w:tcPr>
            <w:tcW w:w="4210" w:type="dxa"/>
            <w:tcBorders>
              <w:left w:val="nil"/>
            </w:tcBorders>
            <w:shd w:val="clear" w:color="auto" w:fill="auto"/>
          </w:tcPr>
          <w:p w14:paraId="7B10005C" w14:textId="6E3C8590"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Organisation des secours</w:t>
            </w:r>
          </w:p>
        </w:tc>
        <w:tc>
          <w:tcPr>
            <w:tcW w:w="10206" w:type="dxa"/>
            <w:shd w:val="clear" w:color="auto" w:fill="auto"/>
          </w:tcPr>
          <w:p w14:paraId="5D4E708F" w14:textId="2D8E028D" w:rsidR="00495997" w:rsidRPr="00495997" w:rsidRDefault="00495997" w:rsidP="00495997">
            <w:pPr>
              <w:numPr>
                <w:ilvl w:val="0"/>
                <w:numId w:val="1"/>
              </w:numPr>
              <w:tabs>
                <w:tab w:val="clear" w:pos="720"/>
              </w:tabs>
              <w:spacing w:before="120" w:after="120"/>
              <w:ind w:left="431" w:hanging="357"/>
              <w:rPr>
                <w:rFonts w:ascii="NimbusSanNovMed" w:hAnsi="NimbusSanNovMed" w:cs="Arial"/>
                <w:lang w:val="fr-FR"/>
              </w:rPr>
            </w:pPr>
            <w:r w:rsidRPr="00495997">
              <w:rPr>
                <w:rFonts w:ascii="NimbusSanNovMed" w:hAnsi="NimbusSanNovMed"/>
              </w:rPr>
              <w:t>Organisez</w:t>
            </w:r>
            <w:r w:rsidRPr="00495997">
              <w:rPr>
                <w:rFonts w:ascii="NimbusSanNovMed" w:hAnsi="NimbusSanNovMed" w:cs="Arial"/>
                <w:lang w:val="fr-FR"/>
              </w:rPr>
              <w:t xml:space="preserve"> ce qu'il faut faire en cas d'urgence. Le manuel d'urgence peut vous aider. Affichez les informations les plus importantes à un endroit central et rappelez régulièrement la procédure aux collaborateurs (p. ex. tous les deux ans).</w:t>
            </w:r>
          </w:p>
        </w:tc>
      </w:tr>
      <w:tr w:rsidR="00495997" w:rsidRPr="00495997" w14:paraId="03C39E9D" w14:textId="77777777" w:rsidTr="007B44ED">
        <w:tc>
          <w:tcPr>
            <w:tcW w:w="463" w:type="dxa"/>
            <w:tcBorders>
              <w:right w:val="nil"/>
            </w:tcBorders>
          </w:tcPr>
          <w:p w14:paraId="3C0834D7" w14:textId="498F51E6" w:rsidR="00495997" w:rsidRPr="00495997" w:rsidRDefault="00495997" w:rsidP="007B44ED">
            <w:pPr>
              <w:spacing w:before="120" w:after="120"/>
              <w:rPr>
                <w:rFonts w:ascii="NimbusSanNov" w:hAnsi="NimbusSanNov"/>
                <w:b/>
                <w:lang w:val="fr-FR"/>
              </w:rPr>
            </w:pPr>
            <w:r>
              <w:rPr>
                <w:rFonts w:ascii="NimbusSanNov" w:hAnsi="NimbusSanNov"/>
                <w:b/>
                <w:lang w:val="fr-FR"/>
              </w:rPr>
              <w:t>8</w:t>
            </w:r>
          </w:p>
        </w:tc>
        <w:tc>
          <w:tcPr>
            <w:tcW w:w="4210" w:type="dxa"/>
            <w:tcBorders>
              <w:left w:val="nil"/>
            </w:tcBorders>
            <w:shd w:val="clear" w:color="auto" w:fill="auto"/>
          </w:tcPr>
          <w:p w14:paraId="4899F01D" w14:textId="0A3F7B61"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Participation</w:t>
            </w:r>
          </w:p>
        </w:tc>
        <w:tc>
          <w:tcPr>
            <w:tcW w:w="10206" w:type="dxa"/>
            <w:shd w:val="clear" w:color="auto" w:fill="auto"/>
          </w:tcPr>
          <w:p w14:paraId="5FBD7F25" w14:textId="49DBB104" w:rsidR="00495997" w:rsidRPr="00495997"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rPr>
              <w:t>Intégrer</w:t>
            </w:r>
            <w:r w:rsidRPr="00495997">
              <w:rPr>
                <w:rFonts w:ascii="NimbusSanNovMed" w:hAnsi="NimbusSanNovMed"/>
                <w:lang w:val="fr-FR"/>
              </w:rPr>
              <w:t xml:space="preserve"> les collègues de travail dans toutes les décisions, ainsi que lors de contrôles externes et d’audits.</w:t>
            </w:r>
          </w:p>
        </w:tc>
      </w:tr>
      <w:tr w:rsidR="00495997" w:rsidRPr="00495997" w14:paraId="24E25A14" w14:textId="77777777" w:rsidTr="007B44ED">
        <w:tc>
          <w:tcPr>
            <w:tcW w:w="463" w:type="dxa"/>
            <w:tcBorders>
              <w:right w:val="nil"/>
            </w:tcBorders>
          </w:tcPr>
          <w:p w14:paraId="2735FEBC" w14:textId="1A45CFDB" w:rsidR="00495997" w:rsidRPr="00495997" w:rsidRDefault="00495997" w:rsidP="007B44ED">
            <w:pPr>
              <w:spacing w:before="120" w:after="120"/>
              <w:rPr>
                <w:rFonts w:ascii="NimbusSanNov" w:hAnsi="NimbusSanNov"/>
                <w:b/>
                <w:lang w:val="fr-FR"/>
              </w:rPr>
            </w:pPr>
            <w:r>
              <w:rPr>
                <w:rFonts w:ascii="NimbusSanNov" w:hAnsi="NimbusSanNov"/>
                <w:b/>
                <w:lang w:val="fr-FR"/>
              </w:rPr>
              <w:t>9</w:t>
            </w:r>
          </w:p>
        </w:tc>
        <w:tc>
          <w:tcPr>
            <w:tcW w:w="4210" w:type="dxa"/>
            <w:tcBorders>
              <w:left w:val="nil"/>
            </w:tcBorders>
            <w:shd w:val="clear" w:color="auto" w:fill="auto"/>
          </w:tcPr>
          <w:p w14:paraId="35A4816F" w14:textId="519251CB"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Protection de la santé</w:t>
            </w:r>
          </w:p>
        </w:tc>
        <w:tc>
          <w:tcPr>
            <w:tcW w:w="10206" w:type="dxa"/>
            <w:shd w:val="clear" w:color="auto" w:fill="auto"/>
          </w:tcPr>
          <w:p w14:paraId="03065472" w14:textId="10B43639" w:rsidR="00495997" w:rsidRPr="00495997" w:rsidRDefault="00495997" w:rsidP="00495997">
            <w:pPr>
              <w:numPr>
                <w:ilvl w:val="0"/>
                <w:numId w:val="1"/>
              </w:numPr>
              <w:tabs>
                <w:tab w:val="clear" w:pos="720"/>
              </w:tabs>
              <w:spacing w:before="120" w:after="120"/>
              <w:ind w:left="431" w:hanging="357"/>
              <w:rPr>
                <w:rFonts w:ascii="NimbusSanNovMed" w:hAnsi="NimbusSanNovMed"/>
                <w:lang w:val="fr-CH"/>
              </w:rPr>
            </w:pPr>
            <w:r w:rsidRPr="00495997">
              <w:rPr>
                <w:rFonts w:ascii="NimbusSanNovMed" w:hAnsi="NimbusSanNovMed"/>
              </w:rPr>
              <w:t>Mise</w:t>
            </w:r>
            <w:r w:rsidRPr="00495997">
              <w:rPr>
                <w:rFonts w:ascii="NimbusSanNovMed" w:hAnsi="NimbusSanNovMed"/>
                <w:lang w:val="fr-CH"/>
              </w:rPr>
              <w:t xml:space="preserve"> en œuvre de l’action prioritaire</w:t>
            </w:r>
            <w:r w:rsidRPr="00495997">
              <w:rPr>
                <w:rFonts w:ascii="NimbusSanNovMed" w:hAnsi="NimbusSanNovMed" w:cs="Arial"/>
                <w:b/>
                <w:lang w:val="fr-CH"/>
              </w:rPr>
              <w:t xml:space="preserve"> « Protection de la maternité »</w:t>
            </w:r>
          </w:p>
        </w:tc>
      </w:tr>
      <w:tr w:rsidR="00495997" w:rsidRPr="00495997" w14:paraId="59B96820" w14:textId="77777777" w:rsidTr="007B44ED">
        <w:tc>
          <w:tcPr>
            <w:tcW w:w="463" w:type="dxa"/>
            <w:tcBorders>
              <w:right w:val="nil"/>
            </w:tcBorders>
          </w:tcPr>
          <w:p w14:paraId="36605C8E" w14:textId="5A50C7E9" w:rsidR="00495997" w:rsidRPr="00495997" w:rsidRDefault="00495997" w:rsidP="007B44ED">
            <w:pPr>
              <w:spacing w:before="120" w:after="120"/>
              <w:rPr>
                <w:rFonts w:ascii="NimbusSanNov" w:hAnsi="NimbusSanNov"/>
                <w:b/>
                <w:lang w:val="fr-FR"/>
              </w:rPr>
            </w:pPr>
            <w:r>
              <w:rPr>
                <w:rFonts w:ascii="NimbusSanNov" w:hAnsi="NimbusSanNov"/>
                <w:b/>
                <w:lang w:val="fr-FR"/>
              </w:rPr>
              <w:t>10</w:t>
            </w:r>
          </w:p>
        </w:tc>
        <w:tc>
          <w:tcPr>
            <w:tcW w:w="4210" w:type="dxa"/>
            <w:tcBorders>
              <w:left w:val="nil"/>
            </w:tcBorders>
            <w:shd w:val="clear" w:color="auto" w:fill="auto"/>
          </w:tcPr>
          <w:p w14:paraId="1AA681BE" w14:textId="7145D7F0" w:rsidR="00495997" w:rsidRPr="00495997" w:rsidRDefault="00495997" w:rsidP="00495997">
            <w:pPr>
              <w:spacing w:before="120" w:after="120"/>
              <w:rPr>
                <w:rFonts w:ascii="NimbusSanNovMed" w:hAnsi="NimbusSanNovMed"/>
                <w:b/>
                <w:lang w:val="fr-FR"/>
              </w:rPr>
            </w:pPr>
            <w:r w:rsidRPr="00495997">
              <w:rPr>
                <w:rFonts w:ascii="NimbusSanNovMed" w:hAnsi="NimbusSanNovMed"/>
                <w:b/>
                <w:lang w:val="fr-FR"/>
              </w:rPr>
              <w:t>Contrôle, audit</w:t>
            </w:r>
          </w:p>
        </w:tc>
        <w:tc>
          <w:tcPr>
            <w:tcW w:w="10206" w:type="dxa"/>
            <w:shd w:val="clear" w:color="auto" w:fill="auto"/>
          </w:tcPr>
          <w:p w14:paraId="3280780A" w14:textId="13AFB38A" w:rsidR="00495997" w:rsidRPr="00495997" w:rsidRDefault="00495997" w:rsidP="00495997">
            <w:pPr>
              <w:numPr>
                <w:ilvl w:val="0"/>
                <w:numId w:val="1"/>
              </w:numPr>
              <w:tabs>
                <w:tab w:val="clear" w:pos="720"/>
              </w:tabs>
              <w:spacing w:before="120" w:after="120"/>
              <w:ind w:left="431" w:hanging="357"/>
              <w:rPr>
                <w:rFonts w:ascii="NimbusSanNovMed" w:hAnsi="NimbusSanNovMed" w:cs="Arial"/>
                <w:lang w:val="fr-FR"/>
              </w:rPr>
            </w:pPr>
            <w:r w:rsidRPr="00495997">
              <w:rPr>
                <w:rFonts w:ascii="NimbusSanNovMed" w:hAnsi="NimbusSanNovMed"/>
              </w:rPr>
              <w:t>Examinez</w:t>
            </w:r>
            <w:r w:rsidRPr="00495997">
              <w:rPr>
                <w:rFonts w:ascii="NimbusSanNovMed" w:hAnsi="NimbusSanNovMed"/>
                <w:lang w:val="fr-FR"/>
              </w:rPr>
              <w:t xml:space="preserve"> le moment où vous souhaitez réaliser un audit. Celui-ci vous offre des conseils et un soutien et vous montre que vous êtes sur la bonne voie. Faites part de vos besoins à votre coordinatrice.</w:t>
            </w:r>
          </w:p>
          <w:p w14:paraId="151ECD5F" w14:textId="139E5CAD" w:rsidR="00495997" w:rsidRPr="00215DD3" w:rsidRDefault="00495997" w:rsidP="00495997">
            <w:pPr>
              <w:numPr>
                <w:ilvl w:val="0"/>
                <w:numId w:val="1"/>
              </w:numPr>
              <w:tabs>
                <w:tab w:val="clear" w:pos="720"/>
              </w:tabs>
              <w:spacing w:before="120" w:after="120"/>
              <w:ind w:left="431" w:hanging="357"/>
              <w:rPr>
                <w:rFonts w:ascii="NimbusSanNovMed" w:hAnsi="NimbusSanNovMed"/>
                <w:lang w:val="fr-FR"/>
              </w:rPr>
            </w:pPr>
            <w:r w:rsidRPr="00495997">
              <w:rPr>
                <w:rFonts w:ascii="NimbusSanNovMed" w:hAnsi="NimbusSanNovMed"/>
                <w:b/>
                <w:lang w:val="fr-FR"/>
              </w:rPr>
              <w:t xml:space="preserve">À la </w:t>
            </w:r>
            <w:r w:rsidRPr="00215DD3">
              <w:rPr>
                <w:rFonts w:ascii="NimbusSanNovMed" w:hAnsi="NimbusSanNovMed"/>
                <w:lang w:val="fr-CH"/>
              </w:rPr>
              <w:t>fin</w:t>
            </w:r>
            <w:r w:rsidRPr="00495997">
              <w:rPr>
                <w:rFonts w:ascii="NimbusSanNovMed" w:hAnsi="NimbusSanNovMed"/>
                <w:b/>
                <w:lang w:val="fr-FR"/>
              </w:rPr>
              <w:t xml:space="preserve"> de l’année contrôler la réalisation de « Tâches en 2023 » &gt; tenir compte d’éventuels points en suspens pour la définition des activités de 2024</w:t>
            </w:r>
          </w:p>
        </w:tc>
      </w:tr>
    </w:tbl>
    <w:p w14:paraId="38DC7512" w14:textId="77777777" w:rsidR="00A435BE" w:rsidRPr="00495997" w:rsidRDefault="00A435BE">
      <w:pPr>
        <w:rPr>
          <w:rFonts w:ascii="NimbusSanNov" w:hAnsi="NimbusSanNov"/>
          <w:lang w:val="fr-FR"/>
        </w:rPr>
      </w:pPr>
    </w:p>
    <w:p w14:paraId="6F6CC624" w14:textId="26220A96" w:rsidR="008C198B" w:rsidRPr="00495997" w:rsidRDefault="008C198B" w:rsidP="00495997">
      <w:pPr>
        <w:ind w:left="2124" w:hanging="2124"/>
        <w:rPr>
          <w:rFonts w:ascii="NimbusSanNov" w:hAnsi="NimbusSanNov" w:cs="Arial"/>
          <w:b/>
          <w:sz w:val="24"/>
          <w:lang w:val="fr-FR"/>
        </w:rPr>
      </w:pPr>
      <w:r w:rsidRPr="00495997">
        <w:rPr>
          <w:rFonts w:ascii="NimbusSanNov" w:hAnsi="NimbusSanNov"/>
          <w:sz w:val="24"/>
          <w:lang w:val="fr-FR"/>
        </w:rPr>
        <w:t xml:space="preserve">NOTA BENE : </w:t>
      </w:r>
      <w:r w:rsidRPr="00495997">
        <w:rPr>
          <w:rFonts w:ascii="NimbusSanNov" w:hAnsi="NimbusSanNov"/>
          <w:sz w:val="24"/>
          <w:lang w:val="fr-FR"/>
        </w:rPr>
        <w:tab/>
      </w:r>
      <w:r w:rsidR="00A449CA" w:rsidRPr="00495997">
        <w:rPr>
          <w:rFonts w:ascii="NimbusSanNov" w:hAnsi="NimbusSanNov" w:cs="Arial"/>
          <w:b/>
          <w:sz w:val="24"/>
          <w:lang w:val="fr-FR"/>
        </w:rPr>
        <w:t>Consigner</w:t>
      </w:r>
      <w:r w:rsidR="001C040A" w:rsidRPr="00495997">
        <w:rPr>
          <w:rFonts w:ascii="NimbusSanNov" w:hAnsi="NimbusSanNov" w:cs="Arial"/>
          <w:b/>
          <w:sz w:val="24"/>
          <w:lang w:val="fr-FR"/>
        </w:rPr>
        <w:t xml:space="preserve"> systématiquement par écrit toutes les mesures prises dans le « Journal des réalisations </w:t>
      </w:r>
      <w:r w:rsidR="005C5307" w:rsidRPr="00495997">
        <w:rPr>
          <w:rFonts w:ascii="NimbusSanNov" w:hAnsi="NimbusSanNov" w:cs="Arial"/>
          <w:b/>
          <w:sz w:val="24"/>
          <w:lang w:val="fr-FR"/>
        </w:rPr>
        <w:t xml:space="preserve">en </w:t>
      </w:r>
      <w:r w:rsidR="00BB38A7" w:rsidRPr="00495997">
        <w:rPr>
          <w:rFonts w:ascii="NimbusSanNov" w:hAnsi="NimbusSanNov" w:cs="Arial"/>
          <w:b/>
          <w:sz w:val="24"/>
          <w:lang w:val="fr-FR"/>
        </w:rPr>
        <w:t>20</w:t>
      </w:r>
      <w:r w:rsidR="00832E00" w:rsidRPr="00495997">
        <w:rPr>
          <w:rFonts w:ascii="NimbusSanNov" w:hAnsi="NimbusSanNov" w:cs="Arial"/>
          <w:b/>
          <w:sz w:val="24"/>
          <w:lang w:val="fr-FR"/>
        </w:rPr>
        <w:t>2</w:t>
      </w:r>
      <w:r w:rsidR="006A690C" w:rsidRPr="00495997">
        <w:rPr>
          <w:rFonts w:ascii="NimbusSanNov" w:hAnsi="NimbusSanNov" w:cs="Arial"/>
          <w:b/>
          <w:sz w:val="24"/>
          <w:lang w:val="fr-FR"/>
        </w:rPr>
        <w:t>3</w:t>
      </w:r>
      <w:r w:rsidR="001C040A" w:rsidRPr="00495997">
        <w:rPr>
          <w:rFonts w:ascii="NimbusSanNov" w:hAnsi="NimbusSanNov" w:cs="Arial"/>
          <w:b/>
          <w:sz w:val="24"/>
          <w:lang w:val="fr-FR"/>
        </w:rPr>
        <w:t> » !</w:t>
      </w:r>
    </w:p>
    <w:sectPr w:rsidR="008C198B" w:rsidRPr="00495997" w:rsidSect="00BB41FE">
      <w:pgSz w:w="16838" w:h="11906" w:orient="landscape"/>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SanNov">
    <w:altName w:val="Times New Roman"/>
    <w:panose1 w:val="02020500000000000000"/>
    <w:charset w:val="00"/>
    <w:family w:val="roman"/>
    <w:notTrueType/>
    <w:pitch w:val="variable"/>
    <w:sig w:usb0="A00002AF" w:usb1="5000205B" w:usb2="00000000" w:usb3="00000000" w:csb0="0000009F" w:csb1="00000000"/>
  </w:font>
  <w:font w:name="NimbusSanNovMed">
    <w:panose1 w:val="02020600000000000000"/>
    <w:charset w:val="00"/>
    <w:family w:val="roman"/>
    <w:notTrueType/>
    <w:pitch w:val="variable"/>
    <w:sig w:usb0="A00002AF" w:usb1="5000205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2231E"/>
    <w:multiLevelType w:val="hybridMultilevel"/>
    <w:tmpl w:val="EE84ED0C"/>
    <w:lvl w:ilvl="0" w:tplc="08070001">
      <w:start w:val="1"/>
      <w:numFmt w:val="bullet"/>
      <w:lvlText w:val=""/>
      <w:lvlJc w:val="left"/>
      <w:pPr>
        <w:tabs>
          <w:tab w:val="num" w:pos="792"/>
        </w:tabs>
        <w:ind w:left="792" w:hanging="360"/>
      </w:pPr>
      <w:rPr>
        <w:rFonts w:ascii="Symbol" w:hAnsi="Symbol" w:hint="default"/>
      </w:rPr>
    </w:lvl>
    <w:lvl w:ilvl="1" w:tplc="08070003" w:tentative="1">
      <w:start w:val="1"/>
      <w:numFmt w:val="bullet"/>
      <w:lvlText w:val="o"/>
      <w:lvlJc w:val="left"/>
      <w:pPr>
        <w:tabs>
          <w:tab w:val="num" w:pos="1512"/>
        </w:tabs>
        <w:ind w:left="1512" w:hanging="360"/>
      </w:pPr>
      <w:rPr>
        <w:rFonts w:ascii="Courier New" w:hAnsi="Courier New" w:cs="Courier New" w:hint="default"/>
      </w:rPr>
    </w:lvl>
    <w:lvl w:ilvl="2" w:tplc="08070005" w:tentative="1">
      <w:start w:val="1"/>
      <w:numFmt w:val="bullet"/>
      <w:lvlText w:val=""/>
      <w:lvlJc w:val="left"/>
      <w:pPr>
        <w:tabs>
          <w:tab w:val="num" w:pos="2232"/>
        </w:tabs>
        <w:ind w:left="2232" w:hanging="360"/>
      </w:pPr>
      <w:rPr>
        <w:rFonts w:ascii="Wingdings" w:hAnsi="Wingdings" w:hint="default"/>
      </w:rPr>
    </w:lvl>
    <w:lvl w:ilvl="3" w:tplc="08070001" w:tentative="1">
      <w:start w:val="1"/>
      <w:numFmt w:val="bullet"/>
      <w:lvlText w:val=""/>
      <w:lvlJc w:val="left"/>
      <w:pPr>
        <w:tabs>
          <w:tab w:val="num" w:pos="2952"/>
        </w:tabs>
        <w:ind w:left="2952" w:hanging="360"/>
      </w:pPr>
      <w:rPr>
        <w:rFonts w:ascii="Symbol" w:hAnsi="Symbol" w:hint="default"/>
      </w:rPr>
    </w:lvl>
    <w:lvl w:ilvl="4" w:tplc="08070003" w:tentative="1">
      <w:start w:val="1"/>
      <w:numFmt w:val="bullet"/>
      <w:lvlText w:val="o"/>
      <w:lvlJc w:val="left"/>
      <w:pPr>
        <w:tabs>
          <w:tab w:val="num" w:pos="3672"/>
        </w:tabs>
        <w:ind w:left="3672" w:hanging="360"/>
      </w:pPr>
      <w:rPr>
        <w:rFonts w:ascii="Courier New" w:hAnsi="Courier New" w:cs="Courier New" w:hint="default"/>
      </w:rPr>
    </w:lvl>
    <w:lvl w:ilvl="5" w:tplc="08070005" w:tentative="1">
      <w:start w:val="1"/>
      <w:numFmt w:val="bullet"/>
      <w:lvlText w:val=""/>
      <w:lvlJc w:val="left"/>
      <w:pPr>
        <w:tabs>
          <w:tab w:val="num" w:pos="4392"/>
        </w:tabs>
        <w:ind w:left="4392" w:hanging="360"/>
      </w:pPr>
      <w:rPr>
        <w:rFonts w:ascii="Wingdings" w:hAnsi="Wingdings" w:hint="default"/>
      </w:rPr>
    </w:lvl>
    <w:lvl w:ilvl="6" w:tplc="08070001" w:tentative="1">
      <w:start w:val="1"/>
      <w:numFmt w:val="bullet"/>
      <w:lvlText w:val=""/>
      <w:lvlJc w:val="left"/>
      <w:pPr>
        <w:tabs>
          <w:tab w:val="num" w:pos="5112"/>
        </w:tabs>
        <w:ind w:left="5112" w:hanging="360"/>
      </w:pPr>
      <w:rPr>
        <w:rFonts w:ascii="Symbol" w:hAnsi="Symbol" w:hint="default"/>
      </w:rPr>
    </w:lvl>
    <w:lvl w:ilvl="7" w:tplc="08070003" w:tentative="1">
      <w:start w:val="1"/>
      <w:numFmt w:val="bullet"/>
      <w:lvlText w:val="o"/>
      <w:lvlJc w:val="left"/>
      <w:pPr>
        <w:tabs>
          <w:tab w:val="num" w:pos="5832"/>
        </w:tabs>
        <w:ind w:left="5832" w:hanging="360"/>
      </w:pPr>
      <w:rPr>
        <w:rFonts w:ascii="Courier New" w:hAnsi="Courier New" w:cs="Courier New" w:hint="default"/>
      </w:rPr>
    </w:lvl>
    <w:lvl w:ilvl="8" w:tplc="08070005" w:tentative="1">
      <w:start w:val="1"/>
      <w:numFmt w:val="bullet"/>
      <w:lvlText w:val=""/>
      <w:lvlJc w:val="left"/>
      <w:pPr>
        <w:tabs>
          <w:tab w:val="num" w:pos="6552"/>
        </w:tabs>
        <w:ind w:left="6552" w:hanging="360"/>
      </w:pPr>
      <w:rPr>
        <w:rFonts w:ascii="Wingdings" w:hAnsi="Wingdings" w:hint="default"/>
      </w:rPr>
    </w:lvl>
  </w:abstractNum>
  <w:abstractNum w:abstractNumId="1" w15:restartNumberingAfterBreak="0">
    <w:nsid w:val="2AB05D58"/>
    <w:multiLevelType w:val="hybridMultilevel"/>
    <w:tmpl w:val="A5B24A8E"/>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A263F1"/>
    <w:multiLevelType w:val="hybridMultilevel"/>
    <w:tmpl w:val="B4A0FE2E"/>
    <w:lvl w:ilvl="0" w:tplc="040C000B">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CC7"/>
    <w:rsid w:val="00050595"/>
    <w:rsid w:val="00066DD1"/>
    <w:rsid w:val="000F1822"/>
    <w:rsid w:val="00101F9F"/>
    <w:rsid w:val="001248EA"/>
    <w:rsid w:val="00176E1A"/>
    <w:rsid w:val="001900A5"/>
    <w:rsid w:val="001A48C8"/>
    <w:rsid w:val="001C040A"/>
    <w:rsid w:val="001D5431"/>
    <w:rsid w:val="001E2943"/>
    <w:rsid w:val="00213649"/>
    <w:rsid w:val="00215DD3"/>
    <w:rsid w:val="00257DC8"/>
    <w:rsid w:val="002D1B7A"/>
    <w:rsid w:val="002D61F4"/>
    <w:rsid w:val="00372BAF"/>
    <w:rsid w:val="00375C75"/>
    <w:rsid w:val="00402BD6"/>
    <w:rsid w:val="0041164D"/>
    <w:rsid w:val="00427F9E"/>
    <w:rsid w:val="00495997"/>
    <w:rsid w:val="004C13BB"/>
    <w:rsid w:val="00511EB0"/>
    <w:rsid w:val="00520235"/>
    <w:rsid w:val="005436EA"/>
    <w:rsid w:val="00557A54"/>
    <w:rsid w:val="005654B7"/>
    <w:rsid w:val="00570BCF"/>
    <w:rsid w:val="00595BAF"/>
    <w:rsid w:val="005B2CD8"/>
    <w:rsid w:val="005C3F68"/>
    <w:rsid w:val="005C5307"/>
    <w:rsid w:val="00693360"/>
    <w:rsid w:val="006A690C"/>
    <w:rsid w:val="006D0C45"/>
    <w:rsid w:val="006D3DD0"/>
    <w:rsid w:val="006D71B6"/>
    <w:rsid w:val="00760FB5"/>
    <w:rsid w:val="007B44ED"/>
    <w:rsid w:val="00823237"/>
    <w:rsid w:val="00832E00"/>
    <w:rsid w:val="00837EAA"/>
    <w:rsid w:val="00846FF7"/>
    <w:rsid w:val="0085574F"/>
    <w:rsid w:val="0087393D"/>
    <w:rsid w:val="0088799F"/>
    <w:rsid w:val="00895C35"/>
    <w:rsid w:val="008C0B7E"/>
    <w:rsid w:val="008C198B"/>
    <w:rsid w:val="00914CC7"/>
    <w:rsid w:val="00964302"/>
    <w:rsid w:val="009916D4"/>
    <w:rsid w:val="009C6795"/>
    <w:rsid w:val="009F6632"/>
    <w:rsid w:val="00A435BE"/>
    <w:rsid w:val="00A449CA"/>
    <w:rsid w:val="00A623F9"/>
    <w:rsid w:val="00A926C2"/>
    <w:rsid w:val="00AA03A1"/>
    <w:rsid w:val="00AC4C70"/>
    <w:rsid w:val="00B11B8D"/>
    <w:rsid w:val="00B145D6"/>
    <w:rsid w:val="00B7136B"/>
    <w:rsid w:val="00B84626"/>
    <w:rsid w:val="00B8737D"/>
    <w:rsid w:val="00B9368B"/>
    <w:rsid w:val="00BA689F"/>
    <w:rsid w:val="00BB38A7"/>
    <w:rsid w:val="00BB41FE"/>
    <w:rsid w:val="00BD743D"/>
    <w:rsid w:val="00BE44B0"/>
    <w:rsid w:val="00BF4CAB"/>
    <w:rsid w:val="00C91366"/>
    <w:rsid w:val="00CB5F94"/>
    <w:rsid w:val="00CC28F0"/>
    <w:rsid w:val="00D025D7"/>
    <w:rsid w:val="00D152BE"/>
    <w:rsid w:val="00D31E19"/>
    <w:rsid w:val="00D4369E"/>
    <w:rsid w:val="00D767F6"/>
    <w:rsid w:val="00D8374D"/>
    <w:rsid w:val="00D84C82"/>
    <w:rsid w:val="00DF3D67"/>
    <w:rsid w:val="00E1499B"/>
    <w:rsid w:val="00E1573D"/>
    <w:rsid w:val="00E529CA"/>
    <w:rsid w:val="00EA4BFD"/>
    <w:rsid w:val="00EE1AEE"/>
    <w:rsid w:val="00EE5495"/>
    <w:rsid w:val="00EF239D"/>
    <w:rsid w:val="00EF5EF2"/>
    <w:rsid w:val="00F10E8B"/>
    <w:rsid w:val="00F550F0"/>
    <w:rsid w:val="00F90347"/>
    <w:rsid w:val="00FB1091"/>
    <w:rsid w:val="00FD3208"/>
    <w:rsid w:val="00FE768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79D7417"/>
  <w15:docId w15:val="{0E10C396-B938-4067-A7B1-61010C16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208"/>
    <w:rPr>
      <w:rFonts w:ascii="Arial" w:hAnsi="Arial"/>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95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64302"/>
    <w:pPr>
      <w:ind w:left="708"/>
    </w:pPr>
  </w:style>
  <w:style w:type="paragraph" w:styleId="Textedebulles">
    <w:name w:val="Balloon Text"/>
    <w:basedOn w:val="Normal"/>
    <w:link w:val="TextedebullesCar"/>
    <w:rsid w:val="00832E00"/>
    <w:rPr>
      <w:rFonts w:ascii="Segoe UI" w:hAnsi="Segoe UI" w:cs="Segoe UI"/>
      <w:sz w:val="18"/>
      <w:szCs w:val="18"/>
    </w:rPr>
  </w:style>
  <w:style w:type="character" w:customStyle="1" w:styleId="TextedebullesCar">
    <w:name w:val="Texte de bulles Car"/>
    <w:basedOn w:val="Policepardfaut"/>
    <w:link w:val="Textedebulles"/>
    <w:rsid w:val="00832E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97EAC-CA3C-42CF-BFC3-F68E6653E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2847</Characters>
  <Application>Microsoft Office Word</Application>
  <DocSecurity>0</DocSecurity>
  <Lines>23</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UNIA</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undamo</dc:creator>
  <cp:lastModifiedBy> </cp:lastModifiedBy>
  <cp:revision>9</cp:revision>
  <cp:lastPrinted>2017-01-16T08:55:00Z</cp:lastPrinted>
  <dcterms:created xsi:type="dcterms:W3CDTF">2022-02-23T09:03:00Z</dcterms:created>
  <dcterms:modified xsi:type="dcterms:W3CDTF">2023-05-24T14:52:00Z</dcterms:modified>
</cp:coreProperties>
</file>